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401" w:type="pct"/>
        <w:tblInd w:w="-32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1"/>
        <w:gridCol w:w="865"/>
        <w:gridCol w:w="1388"/>
        <w:gridCol w:w="2809"/>
        <w:gridCol w:w="329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9"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7"/>
                <w:lang w:val="en-US" w:eastAsia="zh-CN"/>
              </w:rPr>
              <w:t>（</w:t>
            </w:r>
            <w:r>
              <w:rPr>
                <w:rStyle w:val="8"/>
                <w:rFonts w:eastAsia="宋体"/>
                <w:lang w:val="en-US" w:eastAsia="zh-CN"/>
              </w:rPr>
              <w:t>2026</w:t>
            </w:r>
            <w:r>
              <w:rPr>
                <w:rStyle w:val="7"/>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86"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项目名称</w:t>
            </w:r>
          </w:p>
        </w:tc>
        <w:tc>
          <w:tcPr>
            <w:tcW w:w="3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区幼儿园学前生均公用经费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86"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预算单位</w:t>
            </w:r>
          </w:p>
        </w:tc>
        <w:tc>
          <w:tcPr>
            <w:tcW w:w="3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攀枝花市仁和区幼儿园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8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（万元）</w:t>
            </w:r>
          </w:p>
        </w:tc>
        <w:tc>
          <w:tcPr>
            <w:tcW w:w="152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年度资金总额:</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22.</w:t>
            </w:r>
            <w:r>
              <w:rPr>
                <w:rFonts w:ascii="宋体" w:hAnsi="宋体" w:eastAsia="宋体" w:cs="宋体"/>
                <w:i w:val="0"/>
                <w:iCs w:val="0"/>
                <w:color w:val="000000"/>
                <w:kern w:val="0"/>
                <w:sz w:val="24"/>
                <w:szCs w:val="24"/>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8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其中：财政拨款</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22.</w:t>
            </w:r>
            <w:r>
              <w:rPr>
                <w:rFonts w:ascii="宋体" w:hAnsi="宋体" w:eastAsia="宋体" w:cs="宋体"/>
                <w:i w:val="0"/>
                <w:iCs w:val="0"/>
                <w:color w:val="000000"/>
                <w:kern w:val="0"/>
                <w:sz w:val="24"/>
                <w:szCs w:val="24"/>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0" w:hRule="atLeast"/>
        </w:trPr>
        <w:tc>
          <w:tcPr>
            <w:tcW w:w="168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其他资金</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7" w:hRule="atLeast"/>
        </w:trPr>
        <w:tc>
          <w:tcPr>
            <w:tcW w:w="462" w:type="pct"/>
            <w:tcBorders>
              <w:top w:val="single" w:color="000000" w:sz="4" w:space="0"/>
              <w:left w:val="single" w:color="000000" w:sz="4" w:space="0"/>
              <w:bottom w:val="single" w:color="000000" w:sz="4" w:space="0"/>
              <w:right w:val="single" w:color="000000" w:sz="4" w:space="0"/>
            </w:tcBorders>
            <w:shd w:val="clear" w:color="auto" w:fill="auto"/>
            <w:textDirection w:val="tbLrV"/>
            <w:vAlign w:val="center"/>
          </w:tcPr>
          <w:p>
            <w:pPr>
              <w:ind w:left="113" w:right="113"/>
              <w:jc w:val="center"/>
              <w:rPr>
                <w:rFonts w:hint="eastAsia" w:ascii="宋体" w:hAnsi="宋体" w:eastAsia="宋体" w:cs="宋体"/>
                <w:i w:val="0"/>
                <w:iCs w:val="0"/>
                <w:color w:val="000000"/>
                <w:sz w:val="24"/>
                <w:szCs w:val="24"/>
                <w:u w:val="none"/>
                <w:lang w:eastAsia="zh-CN"/>
              </w:rPr>
            </w:pPr>
            <w:bookmarkStart w:id="0" w:name="_GoBack"/>
            <w:r>
              <w:rPr>
                <w:rFonts w:hint="eastAsia" w:ascii="宋体" w:hAnsi="宋体" w:eastAsia="宋体" w:cs="宋体"/>
                <w:i w:val="0"/>
                <w:iCs w:val="0"/>
                <w:color w:val="000000"/>
                <w:kern w:val="0"/>
                <w:sz w:val="24"/>
                <w:szCs w:val="24"/>
                <w:u w:val="none"/>
                <w:lang w:val="en-US" w:eastAsia="zh-CN"/>
              </w:rPr>
              <w:t>总体目标</w:t>
            </w:r>
            <w:bookmarkEnd w:id="0"/>
          </w:p>
        </w:tc>
        <w:tc>
          <w:tcPr>
            <w:tcW w:w="4537" w:type="pct"/>
            <w:gridSpan w:val="4"/>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4"/>
                <w:szCs w:val="24"/>
                <w:u w:val="none"/>
                <w:lang w:val="en-US" w:eastAsia="zh-CN"/>
              </w:rPr>
              <w:t>以幼儿园“高质量”发展”为抓手，以“攀枝花市幼儿园保教质量监测”为契机，切实贯彻落实党的十九大提出的“幼有所育”、《关于学前教育深化改革规范发展的若干意见》、区教体局开学工作会议精神，规范办园，保教并重，努力促进幼儿协调发展。利用地方资源，践行课程游戏化，“做中学，玩中学，学中乐，乐中长”，努力打造传统文化、攀枝花文化特色，让每个幼儿健康快乐地成长。加强园本培训，提升教师整体专业素养；合理预算和使用经费，有计划改造园内设施设备，确保校园文化功能化、游戏化、美化、趣味化。全年沙贝路分园374名幼儿预计22.14万元</w:t>
            </w:r>
            <w:r>
              <w:rPr>
                <w:rFonts w:hint="eastAsia" w:ascii="宋体" w:hAnsi="宋体" w:eastAsia="宋体" w:cs="宋体"/>
                <w:i w:val="0"/>
                <w:iCs w:val="0"/>
                <w:color w:val="000000"/>
                <w:kern w:val="0"/>
                <w:sz w:val="20"/>
                <w:szCs w:val="20"/>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7" w:hRule="atLeast"/>
        </w:trPr>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w:t>
            </w:r>
          </w:p>
        </w:tc>
        <w:tc>
          <w:tcPr>
            <w:tcW w:w="47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一级</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指标</w:t>
            </w:r>
          </w:p>
        </w:tc>
        <w:tc>
          <w:tcPr>
            <w:tcW w:w="7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二级指标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三级指标</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项目完成</w:t>
            </w:r>
          </w:p>
        </w:tc>
        <w:tc>
          <w:tcPr>
            <w:tcW w:w="75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数量指标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日常公用支出人数</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w:t>
            </w:r>
            <w:r>
              <w:rPr>
                <w:rFonts w:ascii="宋体" w:hAnsi="宋体" w:eastAsia="宋体" w:cs="宋体"/>
                <w:i w:val="0"/>
                <w:iCs w:val="0"/>
                <w:color w:val="000000"/>
                <w:kern w:val="0"/>
                <w:sz w:val="24"/>
                <w:szCs w:val="24"/>
                <w:u w:val="none"/>
                <w:lang w:val="en-US" w:eastAsia="zh-CN"/>
              </w:rPr>
              <w:t>369</w:t>
            </w:r>
            <w:r>
              <w:rPr>
                <w:rFonts w:hint="eastAsia" w:ascii="宋体" w:hAnsi="宋体" w:eastAsia="宋体" w:cs="宋体"/>
                <w:i w:val="0"/>
                <w:iCs w:val="0"/>
                <w:color w:val="000000"/>
                <w:kern w:val="0"/>
                <w:sz w:val="24"/>
                <w:szCs w:val="24"/>
                <w:u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人员培训费次数</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≥51人次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质量指标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教学质量评估率</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8"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时效指标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工作完成及时率</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7"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培训完成及时率</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成本指标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支付办公经费</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6.14</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人员培训费</w:t>
            </w:r>
            <w:r>
              <w:rPr>
                <w:rFonts w:ascii="宋体" w:hAnsi="宋体" w:eastAsia="宋体" w:cs="宋体"/>
                <w:i w:val="0"/>
                <w:iCs w:val="0"/>
                <w:color w:val="000000"/>
                <w:kern w:val="0"/>
                <w:sz w:val="24"/>
                <w:szCs w:val="24"/>
                <w:u w:val="none"/>
                <w:lang w:val="en-US" w:eastAsia="zh-CN"/>
              </w:rPr>
              <w:t>、差旅费</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3</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2"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水电费</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6</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8"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其他商品和服务支出</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7</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restart"/>
            <w:tcBorders>
              <w:top w:val="nil"/>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项目效益</w:t>
            </w:r>
          </w:p>
        </w:tc>
        <w:tc>
          <w:tcPr>
            <w:tcW w:w="75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社会效益指标</w:t>
            </w:r>
          </w:p>
        </w:tc>
        <w:tc>
          <w:tcPr>
            <w:tcW w:w="15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受益人口数</w:t>
            </w:r>
          </w:p>
        </w:tc>
        <w:tc>
          <w:tcPr>
            <w:tcW w:w="17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≥42</w:t>
            </w:r>
            <w:r>
              <w:rPr>
                <w:rFonts w:ascii="宋体" w:hAnsi="宋体" w:eastAsia="宋体" w:cs="宋体"/>
                <w:i w:val="0"/>
                <w:iCs w:val="0"/>
                <w:color w:val="000000"/>
                <w:kern w:val="0"/>
                <w:sz w:val="24"/>
                <w:szCs w:val="24"/>
                <w:u w:val="none"/>
                <w:lang w:val="en-US" w:eastAsia="zh-CN"/>
              </w:rPr>
              <w:t>0</w:t>
            </w:r>
            <w:r>
              <w:rPr>
                <w:rFonts w:hint="eastAsia" w:ascii="宋体" w:hAnsi="宋体" w:eastAsia="宋体" w:cs="宋体"/>
                <w:i w:val="0"/>
                <w:iCs w:val="0"/>
                <w:color w:val="000000"/>
                <w:kern w:val="0"/>
                <w:sz w:val="24"/>
                <w:szCs w:val="24"/>
                <w:u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9"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nil"/>
              <w:left w:val="single" w:color="000000" w:sz="4" w:space="0"/>
              <w:bottom w:val="nil"/>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15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7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7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学生、家长及社会满意度</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68" w:hRule="atLeast"/>
        </w:trPr>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7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5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主管部门满意度</w:t>
            </w:r>
          </w:p>
        </w:tc>
        <w:tc>
          <w:tcPr>
            <w:tcW w:w="17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bl>
    <w:p>
      <w:r>
        <w:br w:type="page"/>
      </w:r>
    </w:p>
    <w:tbl>
      <w:tblPr>
        <w:tblStyle w:val="5"/>
        <w:tblW w:w="5247" w:type="pct"/>
        <w:tblInd w:w="-2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40"/>
        <w:gridCol w:w="891"/>
        <w:gridCol w:w="1356"/>
        <w:gridCol w:w="2425"/>
        <w:gridCol w:w="35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w:t>
            </w:r>
            <w:r>
              <w:rPr>
                <w:rFonts w:ascii="Times New Roman" w:hAnsi="Times New Roman" w:eastAsia="宋体" w:cs="Times New Roman"/>
                <w:i w:val="0"/>
                <w:iCs w:val="0"/>
                <w:color w:val="000000"/>
                <w:kern w:val="0"/>
                <w:sz w:val="24"/>
                <w:szCs w:val="24"/>
                <w:u w:val="none"/>
                <w:lang w:val="en-US" w:eastAsia="zh-CN"/>
              </w:rPr>
              <w:t>2026</w:t>
            </w:r>
            <w:r>
              <w:rPr>
                <w:rFonts w:hint="eastAsia" w:ascii="宋体" w:hAnsi="宋体" w:eastAsia="宋体" w:cs="宋体"/>
                <w:i w:val="0"/>
                <w:iCs w:val="0"/>
                <w:color w:val="000000"/>
                <w:kern w:val="0"/>
                <w:sz w:val="24"/>
                <w:szCs w:val="24"/>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1670"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项目名称</w:t>
            </w:r>
          </w:p>
        </w:tc>
        <w:tc>
          <w:tcPr>
            <w:tcW w:w="33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区幼儿园教育教学管理经费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3" w:hRule="atLeast"/>
        </w:trPr>
        <w:tc>
          <w:tcPr>
            <w:tcW w:w="1670"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预算单位</w:t>
            </w:r>
          </w:p>
        </w:tc>
        <w:tc>
          <w:tcPr>
            <w:tcW w:w="33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攀枝花市仁和区幼儿园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167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（万元）</w:t>
            </w:r>
          </w:p>
        </w:tc>
        <w:tc>
          <w:tcPr>
            <w:tcW w:w="135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年度资金总额:</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ascii="宋体" w:hAnsi="宋体" w:eastAsia="宋体" w:cs="宋体"/>
                <w:i w:val="0"/>
                <w:iCs w:val="0"/>
                <w:color w:val="000000"/>
                <w:kern w:val="0"/>
                <w:sz w:val="24"/>
                <w:szCs w:val="24"/>
                <w:u w:val="none"/>
                <w:lang w:val="en-US" w:eastAsia="zh-CN"/>
              </w:rPr>
              <w:t>10</w:t>
            </w:r>
            <w:r>
              <w:rPr>
                <w:rFonts w:hint="eastAsia" w:ascii="宋体" w:hAnsi="宋体" w:cs="宋体"/>
                <w:i w:val="0"/>
                <w:iCs w:val="0"/>
                <w:color w:val="000000"/>
                <w:kern w:val="0"/>
                <w:sz w:val="24"/>
                <w:szCs w:val="24"/>
                <w:u w:val="none"/>
                <w:lang w:val="en-US" w:eastAsia="zh-CN"/>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 w:hRule="atLeast"/>
        </w:trPr>
        <w:tc>
          <w:tcPr>
            <w:tcW w:w="167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5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其中：财政拨款</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4"/>
                <w:szCs w:val="24"/>
                <w:u w:val="none"/>
                <w:lang w:val="en-US"/>
              </w:rPr>
            </w:pPr>
            <w:r>
              <w:rPr>
                <w:rFonts w:ascii="宋体" w:hAnsi="宋体" w:eastAsia="宋体" w:cs="宋体"/>
                <w:i w:val="0"/>
                <w:iCs w:val="0"/>
                <w:color w:val="000000"/>
                <w:kern w:val="0"/>
                <w:sz w:val="24"/>
                <w:szCs w:val="24"/>
                <w:u w:val="none"/>
                <w:lang w:val="en-US" w:eastAsia="zh-CN"/>
              </w:rPr>
              <w:t>10</w:t>
            </w:r>
            <w:r>
              <w:rPr>
                <w:rFonts w:hint="eastAsia" w:ascii="宋体" w:hAnsi="宋体" w:cs="宋体"/>
                <w:i w:val="0"/>
                <w:iCs w:val="0"/>
                <w:color w:val="000000"/>
                <w:kern w:val="0"/>
                <w:sz w:val="24"/>
                <w:szCs w:val="24"/>
                <w:u w:val="none"/>
                <w:lang w:val="en-US" w:eastAsia="zh-CN"/>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trPr>
        <w:tc>
          <w:tcPr>
            <w:tcW w:w="167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5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w:t>
            </w:r>
            <w:r>
              <w:rPr>
                <w:rFonts w:hint="eastAsia" w:ascii="宋体" w:hAnsi="宋体" w:cs="宋体"/>
                <w:i w:val="0"/>
                <w:iCs w:val="0"/>
                <w:color w:val="000000"/>
                <w:kern w:val="0"/>
                <w:sz w:val="24"/>
                <w:szCs w:val="24"/>
                <w:u w:val="none"/>
                <w:lang w:val="en-US" w:eastAsia="zh-CN"/>
              </w:rPr>
              <w:t xml:space="preserve"> </w:t>
            </w:r>
            <w:r>
              <w:rPr>
                <w:rFonts w:hint="eastAsia" w:ascii="宋体" w:hAnsi="宋体" w:eastAsia="宋体" w:cs="宋体"/>
                <w:i w:val="0"/>
                <w:iCs w:val="0"/>
                <w:color w:val="000000"/>
                <w:kern w:val="0"/>
                <w:sz w:val="24"/>
                <w:szCs w:val="24"/>
                <w:u w:val="none"/>
                <w:lang w:val="en-US" w:eastAsia="zh-CN"/>
              </w:rPr>
              <w:t>其他资金</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总</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体</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目</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标</w:t>
            </w:r>
          </w:p>
        </w:tc>
        <w:tc>
          <w:tcPr>
            <w:tcW w:w="458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以幼儿园“高质量”发展”为抓手，以“攀枝花市幼儿园保教质量监测”为契机，切实贯彻落实党的十九大提出的“幼有所育”、《关于学前教育深化改革规范发展的若干意见》、区教体局开学工作会议精神，规范办园，保教并重，努力促进幼儿协调发展。利用地方资源，践行课程游戏化，“做中学，玩中学，学中乐，乐中长”，努力打造传统文化、攀枝花文化特色，让每个幼儿健康快乐地成长。加强园本培训，提升教师整体专业素养；合理预算和使用经费，有计划改造园内设施设备，确保校园文化功能化、游戏化、美化、趣味化。</w:t>
            </w:r>
            <w:r>
              <w:rPr>
                <w:rFonts w:hint="eastAsia" w:ascii="宋体" w:hAnsi="宋体" w:cs="宋体"/>
                <w:i w:val="0"/>
                <w:iCs w:val="0"/>
                <w:color w:val="000000"/>
                <w:kern w:val="0"/>
                <w:sz w:val="24"/>
                <w:szCs w:val="24"/>
                <w:u w:val="none"/>
                <w:lang w:val="en-US" w:eastAsia="zh-CN"/>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w:t>
            </w:r>
          </w:p>
        </w:tc>
        <w:tc>
          <w:tcPr>
            <w:tcW w:w="49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一级指标</w:t>
            </w:r>
          </w:p>
        </w:tc>
        <w:tc>
          <w:tcPr>
            <w:tcW w:w="75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二级指标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三级指标</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项目完成</w:t>
            </w:r>
          </w:p>
        </w:tc>
        <w:tc>
          <w:tcPr>
            <w:tcW w:w="75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数量指标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日常公用支出</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≥42</w:t>
            </w:r>
            <w:r>
              <w:rPr>
                <w:rFonts w:ascii="宋体" w:hAnsi="宋体" w:eastAsia="宋体" w:cs="宋体"/>
                <w:i w:val="0"/>
                <w:iCs w:val="0"/>
                <w:color w:val="000000"/>
                <w:kern w:val="0"/>
                <w:sz w:val="24"/>
                <w:szCs w:val="24"/>
                <w:u w:val="none"/>
                <w:lang w:val="en-US" w:eastAsia="zh-CN"/>
              </w:rPr>
              <w:t>0</w:t>
            </w:r>
            <w:r>
              <w:rPr>
                <w:rFonts w:hint="eastAsia" w:ascii="宋体" w:hAnsi="宋体" w:eastAsia="宋体" w:cs="宋体"/>
                <w:i w:val="0"/>
                <w:iCs w:val="0"/>
                <w:color w:val="000000"/>
                <w:kern w:val="0"/>
                <w:sz w:val="24"/>
                <w:szCs w:val="24"/>
                <w:u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3"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人员培训次数</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≥51人次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质量指标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人员业务水平合格率</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2"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教学质量</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4"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时效指标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项目周期</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1"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成本指标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临聘人员</w:t>
            </w:r>
            <w:r>
              <w:rPr>
                <w:rFonts w:ascii="宋体" w:hAnsi="宋体" w:eastAsia="宋体" w:cs="宋体"/>
                <w:i w:val="0"/>
                <w:iCs w:val="0"/>
                <w:color w:val="000000"/>
                <w:kern w:val="0"/>
                <w:sz w:val="24"/>
                <w:szCs w:val="24"/>
                <w:u w:val="none"/>
                <w:lang w:val="en-US" w:eastAsia="zh-CN"/>
              </w:rPr>
              <w:t>委托业务</w:t>
            </w:r>
            <w:r>
              <w:rPr>
                <w:rFonts w:hint="eastAsia" w:ascii="宋体" w:hAnsi="宋体" w:eastAsia="宋体" w:cs="宋体"/>
                <w:i w:val="0"/>
                <w:iCs w:val="0"/>
                <w:color w:val="000000"/>
                <w:kern w:val="0"/>
                <w:sz w:val="24"/>
                <w:szCs w:val="24"/>
                <w:u w:val="none"/>
                <w:lang w:val="en-US" w:eastAsia="zh-CN"/>
              </w:rPr>
              <w:t>费</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10</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75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社会效益指标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推进素质教育力度</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5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可持续影响指标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人民群众对义务教育的满意度</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显著提高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9"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7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主管部门满意度</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4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学生、家长、社会满意度</w:t>
            </w:r>
          </w:p>
        </w:tc>
        <w:tc>
          <w:tcPr>
            <w:tcW w:w="197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bl>
    <w:p>
      <w:r>
        <w:br w:type="page"/>
      </w:r>
    </w:p>
    <w:tbl>
      <w:tblPr>
        <w:tblStyle w:val="5"/>
        <w:tblW w:w="5261" w:type="pct"/>
        <w:tblInd w:w="-30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60"/>
        <w:gridCol w:w="866"/>
        <w:gridCol w:w="1286"/>
        <w:gridCol w:w="2486"/>
        <w:gridCol w:w="35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1"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w:t>
            </w:r>
            <w:r>
              <w:rPr>
                <w:rFonts w:ascii="Times New Roman" w:hAnsi="Times New Roman" w:eastAsia="宋体" w:cs="Times New Roman"/>
                <w:i w:val="0"/>
                <w:iCs w:val="0"/>
                <w:color w:val="000000"/>
                <w:kern w:val="0"/>
                <w:sz w:val="24"/>
                <w:szCs w:val="24"/>
                <w:u w:val="none"/>
                <w:lang w:val="en-US" w:eastAsia="zh-CN"/>
              </w:rPr>
              <w:t>2026</w:t>
            </w:r>
            <w:r>
              <w:rPr>
                <w:rFonts w:hint="eastAsia" w:ascii="宋体" w:hAnsi="宋体" w:eastAsia="宋体" w:cs="宋体"/>
                <w:i w:val="0"/>
                <w:iCs w:val="0"/>
                <w:color w:val="000000"/>
                <w:kern w:val="0"/>
                <w:sz w:val="24"/>
                <w:szCs w:val="24"/>
                <w:u w:val="none"/>
                <w:lang w:val="en-US" w:eastAsia="zh-CN"/>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624"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项目名称</w:t>
            </w:r>
          </w:p>
        </w:tc>
        <w:tc>
          <w:tcPr>
            <w:tcW w:w="33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区幼儿园劳务派遣人员经费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624" w:type="pct"/>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预算单位</w:t>
            </w:r>
          </w:p>
        </w:tc>
        <w:tc>
          <w:tcPr>
            <w:tcW w:w="33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攀枝花市仁和区幼儿园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8" w:hRule="atLeast"/>
        </w:trPr>
        <w:tc>
          <w:tcPr>
            <w:tcW w:w="1624"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项目资金</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（万元）</w:t>
            </w:r>
          </w:p>
        </w:tc>
        <w:tc>
          <w:tcPr>
            <w:tcW w:w="138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年度资金总额:</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55.3</w:t>
            </w:r>
            <w:r>
              <w:rPr>
                <w:rFonts w:hint="eastAsia" w:ascii="宋体" w:hAnsi="宋体" w:cs="宋体"/>
                <w:i w:val="0"/>
                <w:iCs w:val="0"/>
                <w:color w:val="000000"/>
                <w:kern w:val="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162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8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w:t>
            </w:r>
            <w:r>
              <w:rPr>
                <w:rFonts w:hint="eastAsia" w:ascii="宋体" w:hAnsi="宋体" w:cs="宋体"/>
                <w:i w:val="0"/>
                <w:iCs w:val="0"/>
                <w:color w:val="000000"/>
                <w:kern w:val="0"/>
                <w:sz w:val="24"/>
                <w:szCs w:val="24"/>
                <w:u w:val="none"/>
                <w:lang w:val="en-US" w:eastAsia="zh-CN"/>
              </w:rPr>
              <w:t xml:space="preserve"> </w:t>
            </w:r>
            <w:r>
              <w:rPr>
                <w:rFonts w:hint="eastAsia" w:ascii="宋体" w:hAnsi="宋体" w:eastAsia="宋体" w:cs="宋体"/>
                <w:i w:val="0"/>
                <w:iCs w:val="0"/>
                <w:color w:val="000000"/>
                <w:kern w:val="0"/>
                <w:sz w:val="24"/>
                <w:szCs w:val="24"/>
                <w:u w:val="none"/>
                <w:lang w:val="en-US" w:eastAsia="zh-CN"/>
              </w:rPr>
              <w:t>其中：财政拨款</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eastAsia="zh-CN"/>
              </w:rPr>
            </w:pPr>
            <w:r>
              <w:rPr>
                <w:rFonts w:ascii="宋体" w:hAnsi="宋体" w:eastAsia="宋体" w:cs="宋体"/>
                <w:i w:val="0"/>
                <w:iCs w:val="0"/>
                <w:color w:val="000000"/>
                <w:sz w:val="24"/>
                <w:szCs w:val="24"/>
                <w:u w:val="none"/>
              </w:rPr>
              <w:t>55.3</w:t>
            </w:r>
            <w:r>
              <w:rPr>
                <w:rFonts w:hint="eastAsia" w:ascii="宋体" w:hAnsi="宋体" w:cs="宋体"/>
                <w:i w:val="0"/>
                <w:iCs w:val="0"/>
                <w:color w:val="000000"/>
                <w:sz w:val="24"/>
                <w:szCs w:val="24"/>
                <w:u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1624"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86" w:type="pc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 xml:space="preserve">       </w:t>
            </w:r>
            <w:r>
              <w:rPr>
                <w:rFonts w:hint="eastAsia" w:ascii="宋体" w:hAnsi="宋体" w:cs="宋体"/>
                <w:i w:val="0"/>
                <w:iCs w:val="0"/>
                <w:color w:val="000000"/>
                <w:kern w:val="0"/>
                <w:sz w:val="24"/>
                <w:szCs w:val="24"/>
                <w:u w:val="none"/>
                <w:lang w:val="en-US" w:eastAsia="zh-CN"/>
              </w:rPr>
              <w:t xml:space="preserve">  </w:t>
            </w:r>
            <w:r>
              <w:rPr>
                <w:rFonts w:hint="eastAsia" w:ascii="宋体" w:hAnsi="宋体" w:eastAsia="宋体" w:cs="宋体"/>
                <w:i w:val="0"/>
                <w:iCs w:val="0"/>
                <w:color w:val="000000"/>
                <w:kern w:val="0"/>
                <w:sz w:val="24"/>
                <w:szCs w:val="24"/>
                <w:u w:val="none"/>
                <w:lang w:val="en-US" w:eastAsia="zh-CN"/>
              </w:rPr>
              <w:t>其他资金</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04" w:hRule="atLeast"/>
        </w:trPr>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总</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体</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目</w:t>
            </w:r>
            <w:r>
              <w:rPr>
                <w:rFonts w:hint="eastAsia" w:ascii="宋体" w:hAnsi="宋体" w:eastAsia="宋体" w:cs="宋体"/>
                <w:i w:val="0"/>
                <w:iCs w:val="0"/>
                <w:color w:val="000000"/>
                <w:kern w:val="0"/>
                <w:sz w:val="24"/>
                <w:szCs w:val="24"/>
                <w:u w:val="none"/>
                <w:lang w:val="en-US" w:eastAsia="zh-CN"/>
              </w:rPr>
              <w:br w:type="textWrapping"/>
            </w:r>
            <w:r>
              <w:rPr>
                <w:rFonts w:hint="eastAsia" w:ascii="宋体" w:hAnsi="宋体" w:eastAsia="宋体" w:cs="宋体"/>
                <w:i w:val="0"/>
                <w:iCs w:val="0"/>
                <w:color w:val="000000"/>
                <w:kern w:val="0"/>
                <w:sz w:val="24"/>
                <w:szCs w:val="24"/>
                <w:u w:val="none"/>
                <w:lang w:val="en-US" w:eastAsia="zh-CN"/>
              </w:rPr>
              <w:t>标</w:t>
            </w:r>
          </w:p>
        </w:tc>
        <w:tc>
          <w:tcPr>
            <w:tcW w:w="457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根据攀枝花市仁和区人民政府会议纪要（2017年第64期和2020年第73期）会议精神，按照政府购买服务相关要求，通过政府购买服务的方式解决区幼儿园沙贝路分园教辅人员紧缺问题，招聘教师和保育员，保健医生，保证仁和区幼儿园沙贝路园教育教学工作正常开展。合计</w:t>
            </w:r>
            <w:r>
              <w:rPr>
                <w:rFonts w:ascii="宋体" w:hAnsi="宋体" w:eastAsia="宋体" w:cs="宋体"/>
                <w:i w:val="0"/>
                <w:iCs w:val="0"/>
                <w:color w:val="000000"/>
                <w:kern w:val="0"/>
                <w:sz w:val="24"/>
                <w:szCs w:val="24"/>
                <w:u w:val="none"/>
                <w:lang w:val="en-US" w:eastAsia="zh-CN"/>
              </w:rPr>
              <w:t>55</w:t>
            </w:r>
            <w:r>
              <w:rPr>
                <w:rFonts w:hint="eastAsia" w:ascii="宋体" w:hAnsi="宋体" w:eastAsia="宋体" w:cs="宋体"/>
                <w:i w:val="0"/>
                <w:iCs w:val="0"/>
                <w:color w:val="000000"/>
                <w:kern w:val="0"/>
                <w:sz w:val="24"/>
                <w:szCs w:val="24"/>
                <w:u w:val="none"/>
                <w:lang w:val="en-US" w:eastAsia="zh-CN"/>
              </w:rPr>
              <w:t>.</w:t>
            </w:r>
            <w:r>
              <w:rPr>
                <w:rFonts w:ascii="宋体" w:hAnsi="宋体" w:eastAsia="宋体" w:cs="宋体"/>
                <w:i w:val="0"/>
                <w:iCs w:val="0"/>
                <w:color w:val="000000"/>
                <w:kern w:val="0"/>
                <w:sz w:val="24"/>
                <w:szCs w:val="24"/>
                <w:u w:val="none"/>
                <w:lang w:val="en-US" w:eastAsia="zh-CN"/>
              </w:rPr>
              <w:t>316</w:t>
            </w:r>
            <w:r>
              <w:rPr>
                <w:rFonts w:hint="eastAsia" w:ascii="宋体" w:hAnsi="宋体" w:eastAsia="宋体" w:cs="宋体"/>
                <w:i w:val="0"/>
                <w:iCs w:val="0"/>
                <w:color w:val="000000"/>
                <w:kern w:val="0"/>
                <w:sz w:val="24"/>
                <w:szCs w:val="24"/>
                <w:u w:val="none"/>
                <w:lang w:val="en-US" w:eastAsia="zh-CN"/>
              </w:rPr>
              <w:t>万元。仁和区幼儿园配备编外教辅人员校医1名，教师及保育员14名。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1" w:hRule="atLeast"/>
        </w:trPr>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绩效指标</w:t>
            </w:r>
          </w:p>
        </w:tc>
        <w:tc>
          <w:tcPr>
            <w:tcW w:w="4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一级指标</w:t>
            </w:r>
          </w:p>
        </w:tc>
        <w:tc>
          <w:tcPr>
            <w:tcW w:w="7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二级指标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三级指标</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项目完成</w:t>
            </w:r>
          </w:p>
        </w:tc>
        <w:tc>
          <w:tcPr>
            <w:tcW w:w="71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数量指标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rPr>
              <w:t>劳务派遣人数</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1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质量指标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人员经费保障率</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1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时效指标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项目周期</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1年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1"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continue"/>
            <w:tcBorders>
              <w:top w:val="single" w:color="000000" w:sz="4" w:space="0"/>
              <w:left w:val="single" w:color="000000" w:sz="4" w:space="0"/>
              <w:bottom w:val="nil"/>
              <w:right w:val="single" w:color="000000" w:sz="4" w:space="0"/>
            </w:tcBorders>
            <w:shd w:val="clear" w:color="auto" w:fill="auto"/>
            <w:vAlign w:val="center"/>
          </w:tcPr>
          <w:p/>
        </w:tc>
        <w:tc>
          <w:tcPr>
            <w:tcW w:w="71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成本指标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项目保障运转经费</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ascii="宋体" w:hAnsi="宋体" w:eastAsia="宋体" w:cs="宋体"/>
                <w:i w:val="0"/>
                <w:iCs w:val="0"/>
                <w:color w:val="000000"/>
                <w:kern w:val="0"/>
                <w:sz w:val="24"/>
                <w:szCs w:val="24"/>
                <w:u w:val="none"/>
                <w:lang w:val="en-US" w:eastAsia="zh-CN"/>
              </w:rPr>
              <w:t>55.316</w:t>
            </w:r>
            <w:r>
              <w:rPr>
                <w:rFonts w:hint="eastAsia" w:ascii="宋体" w:hAnsi="宋体" w:eastAsia="宋体" w:cs="宋体"/>
                <w:i w:val="0"/>
                <w:iCs w:val="0"/>
                <w:color w:val="000000"/>
                <w:kern w:val="0"/>
                <w:sz w:val="24"/>
                <w:szCs w:val="24"/>
                <w:u w:val="none"/>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项目效益</w:t>
            </w:r>
          </w:p>
        </w:tc>
        <w:tc>
          <w:tcPr>
            <w:tcW w:w="71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社会效益指标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受益人口数</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≥42</w:t>
            </w:r>
            <w:r>
              <w:rPr>
                <w:rFonts w:ascii="宋体" w:hAnsi="宋体" w:eastAsia="宋体" w:cs="宋体"/>
                <w:i w:val="0"/>
                <w:iCs w:val="0"/>
                <w:color w:val="000000"/>
                <w:kern w:val="0"/>
                <w:sz w:val="24"/>
                <w:szCs w:val="24"/>
                <w:u w:val="none"/>
                <w:lang w:val="en-US" w:eastAsia="zh-CN"/>
              </w:rPr>
              <w:t>0</w:t>
            </w:r>
            <w:r>
              <w:rPr>
                <w:rFonts w:hint="eastAsia" w:ascii="宋体" w:hAnsi="宋体" w:eastAsia="宋体" w:cs="宋体"/>
                <w:i w:val="0"/>
                <w:iCs w:val="0"/>
                <w:color w:val="000000"/>
                <w:kern w:val="0"/>
                <w:sz w:val="24"/>
                <w:szCs w:val="24"/>
                <w:u w:val="none"/>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7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满意度指标</w:t>
            </w: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主管部门满意度</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6" w:hRule="atLeast"/>
        </w:trPr>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4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7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tc>
        <w:tc>
          <w:tcPr>
            <w:tcW w:w="138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学生、家长、社会满意度</w:t>
            </w:r>
          </w:p>
        </w:tc>
        <w:tc>
          <w:tcPr>
            <w:tcW w:w="198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rPr>
              <w:t>≥90%</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rsids>
    <w:rsidRoot w:val="00000000"/>
    <w:rsid w:val="2BA53449"/>
    <w:rsid w:val="2F2A0CDC"/>
    <w:rsid w:val="37E6393C"/>
    <w:rsid w:val="3E1165D2"/>
    <w:rsid w:val="43D27005"/>
    <w:rsid w:val="483D56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imes New Roman" w:eastAsia="宋体" w:cs="Arial"/>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szCs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6">
    <w:name w:val="Default Paragraph Font"/>
    <w:qFormat/>
    <w:uiPriority w:val="0"/>
  </w:style>
  <w:style w:type="table" w:default="1" w:styleId="5">
    <w:name w:val="Normal Table"/>
    <w:semiHidden/>
    <w:uiPriority w:val="0"/>
    <w:tblPr>
      <w:tblCellMar>
        <w:top w:w="0" w:type="dxa"/>
        <w:left w:w="108" w:type="dxa"/>
        <w:bottom w:w="0" w:type="dxa"/>
        <w:right w:w="108" w:type="dxa"/>
      </w:tblCellMar>
    </w:tblPr>
  </w:style>
  <w:style w:type="character" w:customStyle="1" w:styleId="7">
    <w:name w:val="font41"/>
    <w:basedOn w:val="6"/>
    <w:qFormat/>
    <w:uiPriority w:val="0"/>
    <w:rPr>
      <w:rFonts w:ascii="宋体" w:hAnsi="宋体" w:eastAsia="宋体" w:cs="宋体"/>
      <w:color w:val="000000"/>
      <w:sz w:val="24"/>
      <w:szCs w:val="24"/>
      <w:u w:val="none"/>
    </w:rPr>
  </w:style>
  <w:style w:type="character" w:customStyle="1" w:styleId="8">
    <w:name w:val="font51"/>
    <w:basedOn w:val="6"/>
    <w:qFormat/>
    <w:uiPriority w:val="0"/>
    <w:rPr>
      <w:rFonts w:ascii="Times New Roman" w:hAnsi="Times New Roman" w:cs="Times New Roman"/>
      <w:color w:val="000000"/>
      <w:sz w:val="24"/>
      <w:szCs w:val="24"/>
      <w:u w:val="none"/>
    </w:rPr>
  </w:style>
  <w:style w:type="character" w:customStyle="1" w:styleId="9">
    <w:name w:val="font01"/>
    <w:basedOn w:val="6"/>
    <w:qFormat/>
    <w:uiPriority w:val="0"/>
    <w:rPr>
      <w:rFonts w:ascii="Times New Roman" w:hAnsi="Times New Roman" w:cs="Times New Roman"/>
      <w:color w:val="000000"/>
      <w:sz w:val="24"/>
      <w:szCs w:val="24"/>
      <w:u w:val="none"/>
    </w:rPr>
  </w:style>
  <w:style w:type="character" w:customStyle="1" w:styleId="10">
    <w:name w:val="font21"/>
    <w:basedOn w:val="6"/>
    <w:qFormat/>
    <w:uiPriority w:val="0"/>
    <w:rPr>
      <w:rFonts w:ascii="宋体" w:hAnsi="宋体" w:eastAsia="宋体" w:cs="宋体"/>
      <w:color w:val="000000"/>
      <w:sz w:val="24"/>
      <w:szCs w:val="24"/>
      <w:u w:val="none"/>
    </w:rPr>
  </w:style>
  <w:style w:type="character" w:customStyle="1" w:styleId="11">
    <w:name w:val="font61"/>
    <w:basedOn w:val="6"/>
    <w:qFormat/>
    <w:uiPriority w:val="0"/>
    <w:rPr>
      <w:rFonts w:ascii="宋体" w:hAnsi="宋体" w:eastAsia="宋体" w:cs="宋体"/>
      <w:color w:val="000000"/>
      <w:sz w:val="24"/>
      <w:szCs w:val="24"/>
      <w:u w:val="none"/>
    </w:rPr>
  </w:style>
  <w:style w:type="character" w:customStyle="1" w:styleId="12">
    <w:name w:val="font71"/>
    <w:basedOn w:val="6"/>
    <w:qFormat/>
    <w:uiPriority w:val="0"/>
    <w:rPr>
      <w:rFonts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5018AFB7-055F-4C6C-8738-5DCF5FB48818}">
  <ds:schemaRefs/>
</ds:datastoreItem>
</file>

<file path=docProps/app.xml><?xml version="1.0" encoding="utf-8"?>
<Properties xmlns="http://schemas.openxmlformats.org/officeDocument/2006/extended-properties" xmlns:vt="http://schemas.openxmlformats.org/officeDocument/2006/docPropsVTypes">
  <Template>Normal.eit</Template>
  <Pages>3</Pages>
  <Words>0</Words>
  <Characters>1323</Characters>
  <Lines>0</Lines>
  <Paragraphs>6</Paragraphs>
  <TotalTime>50</TotalTime>
  <ScaleCrop>false</ScaleCrop>
  <LinksUpToDate>false</LinksUpToDate>
  <CharactersWithSpaces>1765</CharactersWithSpaces>
  <Application>WPS Office_11.8.6.11825_F1E327BC-269C-435d-A152-05C5408002CA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2024-01-31T05:57:00Z</dcterms:created>
  <dc:creator>何英</dc:creator>
  <cp:lastModifiedBy>何英</cp:lastModifiedBy>
  <dcterms:modified xsi:type="dcterms:W3CDTF">2026-01-22T03:40:27Z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58F75139980D405988685A35BCF3E89F</vt:lpwstr>
  </property>
</Properties>
</file>